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283A3CED"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A57E3D">
              <w:rPr>
                <w:rFonts w:ascii="Times New Roman" w:eastAsia="Times New Roman" w:hAnsi="Times New Roman"/>
                <w:noProof/>
                <w:sz w:val="20"/>
              </w:rPr>
              <w:t>0</w:t>
            </w:r>
            <w:r w:rsidR="00285F6E">
              <w:rPr>
                <w:rFonts w:ascii="Times New Roman" w:eastAsia="Times New Roman" w:hAnsi="Times New Roman"/>
                <w:noProof/>
                <w:sz w:val="20"/>
              </w:rPr>
              <w:t>9</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12A099B2" w:rsidR="003565C4" w:rsidRPr="00990583" w:rsidRDefault="00E911FE" w:rsidP="00E911FE">
            <w:pPr>
              <w:pStyle w:val="Corpsdetexte"/>
              <w:spacing w:before="0" w:after="0"/>
              <w:ind w:left="-8"/>
            </w:pPr>
            <w:r w:rsidRPr="00990583">
              <w:t>Paris</w:t>
            </w:r>
            <w:r w:rsidR="00B37B52" w:rsidRPr="00990583">
              <w:t xml:space="preserve">, le </w:t>
            </w:r>
            <w:r w:rsidR="00A02B88">
              <w:t>29</w:t>
            </w:r>
            <w:r w:rsidR="007971DD">
              <w:t xml:space="preserve"> </w:t>
            </w:r>
            <w:r w:rsidR="00285F6E">
              <w:t>septembre</w:t>
            </w:r>
            <w:r w:rsidR="00A57E3D" w:rsidRPr="00990583">
              <w:t xml:space="preserve"> 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66DDE5AF" w:rsidR="00D1561B" w:rsidRDefault="00596118" w:rsidP="00A01213">
      <w:pPr>
        <w:spacing w:before="120" w:after="0" w:line="240" w:lineRule="auto"/>
        <w:ind w:left="1701" w:hanging="1701"/>
      </w:pPr>
      <w:r w:rsidRPr="00122165">
        <w:rPr>
          <w:b/>
        </w:rPr>
        <w:t>IS :</w:t>
      </w:r>
      <w:r w:rsidR="00D47E79">
        <w:t xml:space="preserve"> </w:t>
      </w:r>
      <w:r w:rsidR="00D47E79">
        <w:tab/>
      </w:r>
      <w:r w:rsidR="00DB4F9A">
        <w:t>Rien à signaler</w:t>
      </w:r>
    </w:p>
    <w:p w14:paraId="073D1CB1" w14:textId="01B4B4CE" w:rsidR="00916F7D" w:rsidRDefault="00596118" w:rsidP="00A01213">
      <w:pPr>
        <w:spacing w:before="120" w:after="0" w:line="240" w:lineRule="auto"/>
        <w:ind w:left="1701" w:hanging="1701"/>
      </w:pPr>
      <w:r w:rsidRPr="00122165">
        <w:rPr>
          <w:b/>
        </w:rPr>
        <w:t>TVA :</w:t>
      </w:r>
      <w:r w:rsidR="00DB56D6">
        <w:t xml:space="preserve"> </w:t>
      </w:r>
      <w:r w:rsidR="00DB56D6">
        <w:tab/>
      </w:r>
      <w:r w:rsidR="006E28C0">
        <w:t>Obligations déclaratives pour la TVA à 10% du logement intermédiaire -</w:t>
      </w:r>
    </w:p>
    <w:p w14:paraId="4E8276DC" w14:textId="3AD9D519" w:rsidR="001261C0" w:rsidRDefault="00596118" w:rsidP="00A01213">
      <w:pPr>
        <w:spacing w:before="120" w:after="0" w:line="240" w:lineRule="auto"/>
        <w:ind w:left="1701" w:hanging="1701"/>
      </w:pPr>
      <w:r w:rsidRPr="00122165">
        <w:rPr>
          <w:b/>
        </w:rPr>
        <w:t>Locaux :</w:t>
      </w:r>
      <w:r w:rsidR="004A7406">
        <w:tab/>
      </w:r>
      <w:r w:rsidR="00DB4F9A">
        <w:t>Rien à signaler</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51D0E8E9" w:rsidR="00B50E23" w:rsidRDefault="00596118" w:rsidP="00A01213">
      <w:pPr>
        <w:spacing w:before="120" w:after="0" w:line="240" w:lineRule="auto"/>
        <w:ind w:left="1701" w:hanging="1701"/>
      </w:pPr>
      <w:r w:rsidRPr="00122165">
        <w:rPr>
          <w:b/>
        </w:rPr>
        <w:t>Divers</w:t>
      </w:r>
      <w:r w:rsidR="004A7406">
        <w:t xml:space="preserve"> :</w:t>
      </w:r>
      <w:r w:rsidR="004A7406">
        <w:tab/>
      </w:r>
      <w:r w:rsidR="00DB4F9A">
        <w:t>Rien à signaler</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017F668A" w:rsidR="00B54BDA" w:rsidRDefault="00596118" w:rsidP="00A01213">
      <w:pPr>
        <w:spacing w:before="120" w:after="0" w:line="240" w:lineRule="auto"/>
        <w:ind w:left="1701" w:hanging="1701"/>
      </w:pPr>
      <w:r w:rsidRPr="00122165">
        <w:rPr>
          <w:b/>
        </w:rPr>
        <w:t>Publique :</w:t>
      </w:r>
      <w:r w:rsidR="00B00EF7">
        <w:t xml:space="preserve"> </w:t>
      </w:r>
      <w:r w:rsidR="00B00EF7">
        <w:tab/>
      </w:r>
      <w:r w:rsidR="006E28C0">
        <w:t>Mise en place de la M57 -</w:t>
      </w:r>
    </w:p>
    <w:p w14:paraId="5F6B1C19" w14:textId="7FDC09E8" w:rsidR="005A391C" w:rsidRDefault="00596118" w:rsidP="00A01213">
      <w:pPr>
        <w:spacing w:before="120" w:after="0" w:line="240" w:lineRule="auto"/>
        <w:ind w:left="1701" w:hanging="1701"/>
      </w:pPr>
      <w:r w:rsidRPr="00122165">
        <w:rPr>
          <w:b/>
        </w:rPr>
        <w:t>Privée :</w:t>
      </w:r>
      <w:r w:rsidR="00B00EF7">
        <w:t xml:space="preserve"> </w:t>
      </w:r>
      <w:r w:rsidR="00B00EF7">
        <w:tab/>
      </w:r>
      <w:r w:rsidR="006E28C0">
        <w:t xml:space="preserve">Les charges d’avance pour les prestations – La comptabilisation des </w:t>
      </w:r>
      <w:r w:rsidR="006E28C0" w:rsidRPr="006E28C0">
        <w:rPr>
          <w:i/>
          <w:iCs/>
        </w:rPr>
        <w:t xml:space="preserve">droits </w:t>
      </w:r>
      <w:r w:rsidR="006E28C0">
        <w:t>d’entrée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4C27D3EB" w:rsidR="00B54BDA" w:rsidRDefault="00596118" w:rsidP="00A01213">
      <w:pPr>
        <w:spacing w:before="120" w:after="0" w:line="240" w:lineRule="auto"/>
        <w:ind w:left="1701" w:hanging="1701"/>
      </w:pPr>
      <w:r w:rsidRPr="00122165">
        <w:rPr>
          <w:b/>
        </w:rPr>
        <w:t>Textes :</w:t>
      </w:r>
      <w:r>
        <w:t xml:space="preserve"> </w:t>
      </w:r>
      <w:r w:rsidR="00223947">
        <w:tab/>
      </w:r>
      <w:r w:rsidR="006E28C0">
        <w:t xml:space="preserve">La loi </w:t>
      </w:r>
      <w:r w:rsidR="006E28C0" w:rsidRPr="006E28C0">
        <w:rPr>
          <w:i/>
          <w:iCs/>
        </w:rPr>
        <w:t>Climat</w:t>
      </w:r>
      <w:r w:rsidR="006E28C0">
        <w:t xml:space="preserve"> -</w:t>
      </w:r>
    </w:p>
    <w:p w14:paraId="41468130" w14:textId="2A7C2322" w:rsidR="006B1E5F" w:rsidRDefault="00596118" w:rsidP="00A01213">
      <w:pPr>
        <w:spacing w:before="120" w:after="0" w:line="240" w:lineRule="auto"/>
        <w:ind w:left="1701" w:hanging="1701"/>
      </w:pPr>
      <w:r w:rsidRPr="00122165">
        <w:rPr>
          <w:b/>
        </w:rPr>
        <w:t>Réponses :</w:t>
      </w:r>
      <w:r>
        <w:t xml:space="preserve"> </w:t>
      </w:r>
      <w:r w:rsidR="00223947">
        <w:tab/>
      </w:r>
      <w:r w:rsidR="00E61F32">
        <w:t>Rien à signaler</w:t>
      </w:r>
    </w:p>
    <w:p w14:paraId="48D6DEFC" w14:textId="775CA4D7" w:rsidR="00CE269F" w:rsidRDefault="00596118" w:rsidP="00A01213">
      <w:pPr>
        <w:spacing w:before="120" w:after="0" w:line="240" w:lineRule="auto"/>
        <w:ind w:left="1701" w:hanging="1701"/>
      </w:pPr>
      <w:r w:rsidRPr="004E2169">
        <w:rPr>
          <w:b/>
          <w:spacing w:val="-8"/>
        </w:rPr>
        <w:t>Jurisprudence :</w:t>
      </w:r>
      <w:r>
        <w:t xml:space="preserve"> </w:t>
      </w:r>
      <w:r w:rsidR="00223947">
        <w:tab/>
      </w:r>
      <w:r w:rsidR="00E61F32">
        <w:t>Rien à signaler</w:t>
      </w:r>
    </w:p>
    <w:p w14:paraId="76354D80" w14:textId="1D1497E3" w:rsidR="00004382" w:rsidRDefault="00596118" w:rsidP="00A01213">
      <w:pPr>
        <w:spacing w:before="120" w:after="0" w:line="240" w:lineRule="auto"/>
        <w:ind w:left="1701" w:hanging="1701"/>
      </w:pPr>
      <w:r w:rsidRPr="00122165">
        <w:rPr>
          <w:b/>
        </w:rPr>
        <w:t>Divers :</w:t>
      </w:r>
      <w:r>
        <w:t xml:space="preserve"> </w:t>
      </w:r>
      <w:r>
        <w:tab/>
      </w:r>
      <w:r w:rsidR="006E28C0">
        <w:t>Cotisations sociales des indépendants – guide de la CNIL pour le RGPD – Analyse 2021 du logement social – Les finances des régions -</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2B5B0E82" w14:textId="77777777" w:rsidR="00DB4F9A" w:rsidRPr="00E3229F" w:rsidRDefault="00DB4F9A" w:rsidP="00DB4F9A">
      <w:pPr>
        <w:keepNext/>
        <w:spacing w:before="120" w:after="0" w:line="240" w:lineRule="auto"/>
        <w:rPr>
          <w:rFonts w:cs="Times"/>
          <w:color w:val="003300"/>
          <w:szCs w:val="24"/>
          <w:u w:val="single"/>
        </w:rPr>
      </w:pPr>
      <w:r>
        <w:rPr>
          <w:color w:val="003300"/>
        </w:rPr>
        <w:t>Rien à signaler</w:t>
      </w:r>
    </w:p>
    <w:p w14:paraId="62E80419" w14:textId="2BC5083D"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3A35FA0D" w14:textId="58947525" w:rsidR="006E12CD" w:rsidRDefault="003E0649" w:rsidP="009B19A7">
      <w:pPr>
        <w:keepNext/>
        <w:spacing w:before="120" w:after="0" w:line="240" w:lineRule="auto"/>
        <w:rPr>
          <w:color w:val="003300"/>
        </w:rPr>
      </w:pPr>
      <w:r w:rsidRPr="003E0649">
        <w:rPr>
          <w:color w:val="003300"/>
          <w:u w:val="single"/>
        </w:rPr>
        <w:t>Logement intermédiaire</w:t>
      </w:r>
      <w:r>
        <w:rPr>
          <w:color w:val="003300"/>
        </w:rPr>
        <w:t xml:space="preserve"> – Les conditions pour appliquer le taux réduit de 10%. </w:t>
      </w:r>
    </w:p>
    <w:p w14:paraId="15A509D8" w14:textId="7206B310" w:rsidR="00474A3B" w:rsidRPr="00474A3B" w:rsidRDefault="00474A3B" w:rsidP="009B19A7">
      <w:pPr>
        <w:keepNext/>
        <w:spacing w:before="120" w:after="0" w:line="240" w:lineRule="auto"/>
        <w:ind w:left="567"/>
        <w:rPr>
          <w:rFonts w:cs="Times"/>
          <w:szCs w:val="24"/>
        </w:rPr>
      </w:pPr>
      <w:hyperlink r:id="rId8" w:history="1">
        <w:r w:rsidRPr="00474A3B">
          <w:rPr>
            <w:rStyle w:val="Lienhypertexte"/>
            <w:rFonts w:cs="Times"/>
            <w:szCs w:val="24"/>
          </w:rPr>
          <w:t>Décret n° 2021-1157</w:t>
        </w:r>
      </w:hyperlink>
      <w:r w:rsidRPr="00474A3B">
        <w:rPr>
          <w:rFonts w:cs="Times"/>
          <w:szCs w:val="24"/>
        </w:rPr>
        <w:t xml:space="preserve"> du 6 septembre 2021 relatif à l'obligation de transmission d'informations pour les livraisons de logements locatifs intermédiaires définis à l'article 279-0 bis A du code général des impôts, en application des articles L. 302-16-1 et L. 302-16-2 du code de la construction et de l'habitation</w:t>
      </w:r>
    </w:p>
    <w:p w14:paraId="6CE58C92" w14:textId="765CBFC5"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35D1EB14" w14:textId="5F485DCE" w:rsidR="006E12CD" w:rsidRPr="00DB4F9A" w:rsidRDefault="00DB4F9A" w:rsidP="00DB4F9A">
      <w:pPr>
        <w:keepNext/>
        <w:spacing w:before="120" w:after="0" w:line="240" w:lineRule="auto"/>
        <w:rPr>
          <w:rFonts w:cs="Times"/>
          <w:color w:val="003300"/>
          <w:szCs w:val="24"/>
          <w:u w:val="single"/>
        </w:rPr>
      </w:pPr>
      <w:r>
        <w:rPr>
          <w:color w:val="003300"/>
        </w:rPr>
        <w:t>Rien à signaler</w:t>
      </w:r>
    </w:p>
    <w:p w14:paraId="034CD263" w14:textId="43C69F16"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F4269BE" w14:textId="3EEF8D79" w:rsidR="007E1F47" w:rsidRPr="00E3229F" w:rsidRDefault="00E3229F" w:rsidP="00E3229F">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4BF4D7D5" w14:textId="182E6BE0" w:rsidR="00BD7137" w:rsidRPr="00DB4F9A" w:rsidRDefault="00DB4F9A" w:rsidP="00BD7137">
      <w:pPr>
        <w:keepNext/>
        <w:spacing w:before="120" w:after="0" w:line="240" w:lineRule="auto"/>
        <w:rPr>
          <w:rFonts w:cs="Times"/>
          <w:color w:val="003300"/>
          <w:szCs w:val="24"/>
          <w:u w:val="single"/>
        </w:rPr>
      </w:pPr>
      <w:r>
        <w:rPr>
          <w:color w:val="003300"/>
        </w:rPr>
        <w:t>Rien à signaler</w:t>
      </w:r>
    </w:p>
    <w:p w14:paraId="5380879D" w14:textId="77777777" w:rsidR="006E12CD" w:rsidRDefault="006E12CD" w:rsidP="00BD7137">
      <w:pPr>
        <w:keepNext/>
        <w:spacing w:before="120" w:after="0" w:line="240" w:lineRule="auto"/>
        <w:rPr>
          <w:color w:val="003300"/>
        </w:rPr>
      </w:pPr>
    </w:p>
    <w:p w14:paraId="20C76B2E" w14:textId="3C1CB255"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614D6138" w14:textId="57D580C0" w:rsidR="00484256" w:rsidRDefault="004235B7" w:rsidP="00484256">
      <w:pPr>
        <w:keepNext/>
        <w:spacing w:before="120" w:after="0" w:line="240" w:lineRule="auto"/>
        <w:rPr>
          <w:color w:val="003300"/>
        </w:rPr>
      </w:pPr>
      <w:r>
        <w:rPr>
          <w:color w:val="003300"/>
        </w:rPr>
        <w:t>M 57 – La mise en place progressive se poursuit.</w:t>
      </w:r>
    </w:p>
    <w:p w14:paraId="34B93312" w14:textId="15806D32" w:rsidR="004235B7" w:rsidRDefault="004235B7" w:rsidP="004235B7">
      <w:pPr>
        <w:keepNext/>
        <w:spacing w:before="120" w:after="0" w:line="240" w:lineRule="auto"/>
        <w:ind w:left="567"/>
        <w:rPr>
          <w:rFonts w:cs="Times"/>
          <w:color w:val="003300"/>
          <w:szCs w:val="24"/>
          <w:u w:val="single"/>
        </w:rPr>
      </w:pPr>
      <w:hyperlink r:id="rId9" w:history="1">
        <w:r w:rsidRPr="004235B7">
          <w:rPr>
            <w:rStyle w:val="Lienhypertexte"/>
          </w:rPr>
          <w:t>Présentation du référentiel M 57</w:t>
        </w:r>
      </w:hyperlink>
    </w:p>
    <w:p w14:paraId="1E12E0B0" w14:textId="1342CEEC"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47EA257B" w14:textId="77777777" w:rsidR="006E28C0" w:rsidRDefault="006E28C0" w:rsidP="006E28C0">
      <w:pPr>
        <w:keepNext/>
        <w:spacing w:before="120" w:after="0" w:line="240" w:lineRule="auto"/>
        <w:rPr>
          <w:color w:val="003300"/>
        </w:rPr>
      </w:pPr>
      <w:r>
        <w:rPr>
          <w:color w:val="003300"/>
          <w:u w:val="single"/>
        </w:rPr>
        <w:t>Les produits d’une SPL délégataire de service public</w:t>
      </w:r>
      <w:r>
        <w:rPr>
          <w:color w:val="003300"/>
        </w:rPr>
        <w:t xml:space="preserve"> – Les modalités de lissage dans le temps des </w:t>
      </w:r>
      <w:r w:rsidRPr="009B19A7">
        <w:rPr>
          <w:i/>
          <w:iCs/>
          <w:color w:val="003300"/>
        </w:rPr>
        <w:t>branchements</w:t>
      </w:r>
      <w:r>
        <w:rPr>
          <w:color w:val="003300"/>
        </w:rPr>
        <w:t>.</w:t>
      </w:r>
    </w:p>
    <w:p w14:paraId="7CACB732" w14:textId="77777777" w:rsidR="006E28C0" w:rsidRPr="009B19A7" w:rsidRDefault="006E28C0" w:rsidP="006E28C0">
      <w:pPr>
        <w:keepNext/>
        <w:spacing w:before="120" w:after="0" w:line="240" w:lineRule="auto"/>
        <w:ind w:left="567"/>
      </w:pPr>
      <w:r>
        <w:object w:dxaOrig="1538" w:dyaOrig="993" w14:anchorId="580160C4">
          <v:shape id="_x0000_i1054" type="#_x0000_t75" style="width:48.55pt;height:31pt" o:ole="">
            <v:imagedata r:id="rId10" o:title=""/>
          </v:shape>
          <o:OLEObject Type="Embed" ProgID="AcroExch.Document.DC" ShapeID="_x0000_i1054" DrawAspect="Icon" ObjectID="_1694419570" r:id="rId11"/>
        </w:object>
      </w:r>
      <w:r w:rsidRPr="009B19A7">
        <w:t>EC 2020-32</w:t>
      </w:r>
    </w:p>
    <w:p w14:paraId="27FFDE57" w14:textId="2E9B647E" w:rsidR="00DB4F9A" w:rsidRDefault="00474A3B" w:rsidP="00DB4F9A">
      <w:pPr>
        <w:keepNext/>
        <w:spacing w:before="120" w:after="0" w:line="240" w:lineRule="auto"/>
        <w:rPr>
          <w:rFonts w:cs="Times"/>
          <w:color w:val="003300"/>
          <w:szCs w:val="24"/>
          <w:u w:val="single"/>
        </w:rPr>
      </w:pPr>
      <w:r>
        <w:rPr>
          <w:color w:val="003300"/>
          <w:u w:val="single"/>
        </w:rPr>
        <w:t>Charges d’avance</w:t>
      </w:r>
      <w:r w:rsidR="00DB4F9A" w:rsidRPr="00DB4F9A">
        <w:rPr>
          <w:color w:val="003300"/>
          <w:u w:val="single"/>
        </w:rPr>
        <w:t xml:space="preserve"> </w:t>
      </w:r>
      <w:r w:rsidR="00DB4F9A">
        <w:rPr>
          <w:color w:val="003300"/>
        </w:rPr>
        <w:t xml:space="preserve">– </w:t>
      </w:r>
      <w:r>
        <w:rPr>
          <w:color w:val="003300"/>
        </w:rPr>
        <w:t>Elles sont bien à utiliser pour des prestations relatives à des exercices futurs.</w:t>
      </w:r>
    </w:p>
    <w:p w14:paraId="00129F50" w14:textId="5A7BDA37" w:rsidR="006E12CD" w:rsidRPr="00474A3B" w:rsidRDefault="00474A3B" w:rsidP="00474A3B">
      <w:pPr>
        <w:spacing w:before="120" w:after="0" w:line="240" w:lineRule="auto"/>
        <w:ind w:left="567"/>
        <w:rPr>
          <w:rFonts w:cs="Times"/>
          <w:b/>
          <w:szCs w:val="24"/>
        </w:rPr>
      </w:pPr>
      <w:hyperlink r:id="rId12" w:history="1">
        <w:r w:rsidRPr="00474A3B">
          <w:rPr>
            <w:rStyle w:val="Lienhypertexte"/>
          </w:rPr>
          <w:t>CE n° 423983</w:t>
        </w:r>
        <w:r w:rsidRPr="00474A3B">
          <w:rPr>
            <w:rStyle w:val="Lienhypertexte"/>
          </w:rPr>
          <w:t xml:space="preserve"> </w:t>
        </w:r>
        <w:r w:rsidRPr="00474A3B">
          <w:rPr>
            <w:rStyle w:val="Lienhypertexte"/>
          </w:rPr>
          <w:t>10-3-2021</w:t>
        </w:r>
      </w:hyperlink>
      <w:r w:rsidRPr="00474A3B">
        <w:t xml:space="preserve"> </w:t>
      </w:r>
    </w:p>
    <w:p w14:paraId="077EA3B3" w14:textId="331DA100"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0D35BEBD" w14:textId="2EC0A02A" w:rsidR="00285F6E" w:rsidRPr="00830B35" w:rsidRDefault="00830B35" w:rsidP="00E3229F">
      <w:pPr>
        <w:spacing w:before="120" w:after="0" w:line="240" w:lineRule="auto"/>
        <w:rPr>
          <w:color w:val="003300"/>
        </w:rPr>
      </w:pPr>
      <w:r>
        <w:rPr>
          <w:color w:val="003300"/>
          <w:u w:val="single"/>
        </w:rPr>
        <w:t>Loi Climat –</w:t>
      </w:r>
      <w:r>
        <w:rPr>
          <w:color w:val="003300"/>
        </w:rPr>
        <w:t xml:space="preserve"> A lire car elle comporte de nombreuses dispositions relatives aux bâtiments et à leur exploitation (par exemple : copropriétés</w:t>
      </w:r>
      <w:r w:rsidR="004977FC">
        <w:rPr>
          <w:color w:val="003300"/>
        </w:rPr>
        <w:t>, marchés…</w:t>
      </w:r>
      <w:r>
        <w:rPr>
          <w:color w:val="003300"/>
        </w:rPr>
        <w:t>).</w:t>
      </w:r>
    </w:p>
    <w:p w14:paraId="5F02EEDD" w14:textId="44615EF9" w:rsidR="00830B35" w:rsidRPr="00830B35" w:rsidRDefault="00830B35" w:rsidP="00830B35">
      <w:pPr>
        <w:spacing w:before="120" w:after="0" w:line="240" w:lineRule="auto"/>
        <w:ind w:left="567"/>
      </w:pPr>
      <w:hyperlink r:id="rId13" w:history="1">
        <w:r w:rsidRPr="00830B35">
          <w:rPr>
            <w:rStyle w:val="Lienhypertexte"/>
          </w:rPr>
          <w:t>La loi n° 2021-1104</w:t>
        </w:r>
      </w:hyperlink>
      <w:r w:rsidRPr="00830B35">
        <w:t xml:space="preserve"> du 22 août 2021 portant lutte contre le dérèglement climatique et renforcement de la résilience face à ces effets</w:t>
      </w:r>
    </w:p>
    <w:p w14:paraId="17D13BC7" w14:textId="05D9BD09" w:rsidR="00E935A2" w:rsidRDefault="00AB002C" w:rsidP="004977FC">
      <w:pPr>
        <w:keepNext/>
        <w:spacing w:before="120" w:after="0" w:line="240" w:lineRule="auto"/>
        <w:rPr>
          <w:rFonts w:cs="Times"/>
          <w:b/>
          <w:szCs w:val="24"/>
        </w:rPr>
      </w:pPr>
      <w:r w:rsidRPr="006320BB">
        <w:rPr>
          <w:rFonts w:cs="Times"/>
          <w:b/>
          <w:szCs w:val="24"/>
        </w:rPr>
        <w:lastRenderedPageBreak/>
        <w:t>3</w:t>
      </w:r>
      <w:r w:rsidR="00E935A2" w:rsidRPr="006320BB">
        <w:rPr>
          <w:rFonts w:cs="Times"/>
          <w:b/>
          <w:szCs w:val="24"/>
        </w:rPr>
        <w:t>.2</w:t>
      </w:r>
      <w:r w:rsidR="00E935A2" w:rsidRPr="006320BB">
        <w:rPr>
          <w:rFonts w:cs="Times"/>
          <w:b/>
          <w:szCs w:val="24"/>
        </w:rPr>
        <w:tab/>
        <w:t>Réponses ministérielles</w:t>
      </w:r>
    </w:p>
    <w:p w14:paraId="64F2B7C8" w14:textId="6C0A05FE" w:rsidR="00440D9A" w:rsidRPr="007971DD" w:rsidRDefault="007971DD" w:rsidP="004977FC">
      <w:pPr>
        <w:keepNext/>
        <w:spacing w:before="120" w:after="0" w:line="240" w:lineRule="auto"/>
        <w:rPr>
          <w:color w:val="003300"/>
        </w:rPr>
      </w:pPr>
      <w:r w:rsidRPr="007971DD">
        <w:rPr>
          <w:color w:val="003300"/>
        </w:rPr>
        <w:t>Rien à signaler</w:t>
      </w:r>
    </w:p>
    <w:p w14:paraId="7D92344F" w14:textId="0CAD0703" w:rsidR="00331173" w:rsidRDefault="00331173" w:rsidP="00E3229F">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2378A3E1" w14:textId="69C172AD" w:rsidR="00440D9A" w:rsidRPr="007971DD" w:rsidRDefault="007971DD" w:rsidP="007971DD">
      <w:pPr>
        <w:keepNext/>
        <w:spacing w:before="120" w:after="0" w:line="240" w:lineRule="auto"/>
        <w:rPr>
          <w:color w:val="003300"/>
        </w:rPr>
      </w:pPr>
      <w:r w:rsidRPr="007971DD">
        <w:rPr>
          <w:color w:val="003300"/>
        </w:rPr>
        <w:t>Rien à signaler</w:t>
      </w:r>
    </w:p>
    <w:p w14:paraId="24D1A5D0" w14:textId="4E72C191" w:rsidR="005A17CC" w:rsidRPr="00142627" w:rsidRDefault="001F3614" w:rsidP="000F2418">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12C2E9DB" w14:textId="2D77A8AD" w:rsidR="00166C50" w:rsidRPr="00166C50" w:rsidRDefault="00166C50" w:rsidP="005A17CC">
      <w:pPr>
        <w:keepNext/>
        <w:spacing w:before="120" w:after="0" w:line="240" w:lineRule="auto"/>
        <w:rPr>
          <w:color w:val="003300"/>
        </w:rPr>
      </w:pPr>
      <w:r>
        <w:rPr>
          <w:color w:val="003300"/>
          <w:u w:val="single"/>
        </w:rPr>
        <w:t>Cotisations sociales des indépendants –</w:t>
      </w:r>
      <w:r>
        <w:rPr>
          <w:color w:val="003300"/>
        </w:rPr>
        <w:t xml:space="preserve"> Pour 2021.</w:t>
      </w:r>
    </w:p>
    <w:p w14:paraId="10329535" w14:textId="6F598C21" w:rsidR="00166C50" w:rsidRPr="00166C50" w:rsidRDefault="00166C50" w:rsidP="00166C50">
      <w:pPr>
        <w:keepNext/>
        <w:spacing w:before="120" w:after="0" w:line="240" w:lineRule="auto"/>
        <w:ind w:left="567"/>
        <w:rPr>
          <w:u w:val="single"/>
        </w:rPr>
      </w:pPr>
      <w:hyperlink r:id="rId14" w:history="1">
        <w:r w:rsidRPr="00166C50">
          <w:rPr>
            <w:rStyle w:val="Lienhypertexte"/>
          </w:rPr>
          <w:t>Arrêté du 16 juillet 2021</w:t>
        </w:r>
      </w:hyperlink>
      <w:r w:rsidRPr="00166C50">
        <w:t xml:space="preserve"> fixant les données de la déclaration mentionnée à l'article L. 613-2 du code de la sécurité sociale</w:t>
      </w:r>
    </w:p>
    <w:p w14:paraId="185FEC07" w14:textId="06771759" w:rsidR="00285F6E" w:rsidRDefault="00830B35" w:rsidP="005A17CC">
      <w:pPr>
        <w:keepNext/>
        <w:spacing w:before="120" w:after="0" w:line="240" w:lineRule="auto"/>
        <w:rPr>
          <w:color w:val="003300"/>
          <w:u w:val="single"/>
        </w:rPr>
      </w:pPr>
      <w:r>
        <w:rPr>
          <w:color w:val="003300"/>
          <w:u w:val="single"/>
        </w:rPr>
        <w:t>CNIL</w:t>
      </w:r>
      <w:r>
        <w:rPr>
          <w:color w:val="003300"/>
          <w:u w:val="single"/>
        </w:rPr>
        <w:t xml:space="preserve"> –</w:t>
      </w:r>
      <w:r>
        <w:rPr>
          <w:color w:val="003300"/>
        </w:rPr>
        <w:t xml:space="preserve"> </w:t>
      </w:r>
      <w:r>
        <w:rPr>
          <w:color w:val="003300"/>
        </w:rPr>
        <w:t>Un guide pour voir si l’on respecte le RGPD.</w:t>
      </w:r>
    </w:p>
    <w:p w14:paraId="7DC2AF94" w14:textId="65D5E618" w:rsidR="00830B35" w:rsidRDefault="00830B35" w:rsidP="00830B35">
      <w:pPr>
        <w:keepNext/>
        <w:spacing w:before="120" w:after="0" w:line="240" w:lineRule="auto"/>
        <w:ind w:left="567"/>
        <w:rPr>
          <w:color w:val="003300"/>
          <w:u w:val="single"/>
        </w:rPr>
      </w:pPr>
      <w:hyperlink r:id="rId15" w:history="1">
        <w:r w:rsidRPr="00830B35">
          <w:rPr>
            <w:rStyle w:val="Lienhypertexte"/>
          </w:rPr>
          <w:t>Autoévaluation de maturité en gestion de la protection des données</w:t>
        </w:r>
      </w:hyperlink>
    </w:p>
    <w:p w14:paraId="54A5FE8E" w14:textId="17662488" w:rsidR="006E12CD" w:rsidRDefault="00A1679B" w:rsidP="005A17CC">
      <w:pPr>
        <w:keepNext/>
        <w:spacing w:before="120" w:after="0" w:line="240" w:lineRule="auto"/>
        <w:rPr>
          <w:color w:val="003300"/>
        </w:rPr>
      </w:pPr>
      <w:r>
        <w:rPr>
          <w:color w:val="003300"/>
          <w:u w:val="single"/>
        </w:rPr>
        <w:t>Logement social</w:t>
      </w:r>
      <w:r>
        <w:rPr>
          <w:color w:val="003300"/>
          <w:u w:val="single"/>
        </w:rPr>
        <w:t xml:space="preserve"> –</w:t>
      </w:r>
      <w:r>
        <w:rPr>
          <w:color w:val="003300"/>
        </w:rPr>
        <w:t xml:space="preserve"> </w:t>
      </w:r>
      <w:r>
        <w:rPr>
          <w:color w:val="003300"/>
        </w:rPr>
        <w:t>L’analyse de la banque des territoires pour 2021.</w:t>
      </w:r>
    </w:p>
    <w:p w14:paraId="44942450" w14:textId="6EB66923" w:rsidR="00A1679B" w:rsidRDefault="00A1679B" w:rsidP="00A1679B">
      <w:pPr>
        <w:keepNext/>
        <w:spacing w:before="120" w:after="0" w:line="240" w:lineRule="auto"/>
        <w:ind w:left="567"/>
        <w:rPr>
          <w:rFonts w:cs="Times"/>
          <w:color w:val="003300"/>
          <w:szCs w:val="24"/>
        </w:rPr>
      </w:pPr>
      <w:hyperlink r:id="rId16" w:history="1">
        <w:r w:rsidRPr="00A1679B">
          <w:rPr>
            <w:rStyle w:val="Lienhypertexte"/>
          </w:rPr>
          <w:t>Perspectives</w:t>
        </w:r>
      </w:hyperlink>
      <w:r>
        <w:t xml:space="preserve"> </w:t>
      </w:r>
      <w:r>
        <w:t xml:space="preserve">- </w:t>
      </w:r>
      <w:r>
        <w:t>L’étude sur le logement social</w:t>
      </w:r>
      <w:r>
        <w:t xml:space="preserve"> – Edition 2021</w:t>
      </w:r>
    </w:p>
    <w:p w14:paraId="27A2CE17" w14:textId="50F28950" w:rsidR="005A17CC" w:rsidRDefault="004235B7" w:rsidP="005A17CC">
      <w:pPr>
        <w:keepNext/>
        <w:spacing w:before="120" w:after="0" w:line="240" w:lineRule="auto"/>
        <w:rPr>
          <w:color w:val="003300"/>
        </w:rPr>
      </w:pPr>
      <w:r>
        <w:rPr>
          <w:color w:val="003300"/>
          <w:u w:val="single"/>
        </w:rPr>
        <w:t>Les finances des régions</w:t>
      </w:r>
      <w:r>
        <w:rPr>
          <w:color w:val="003300"/>
          <w:u w:val="single"/>
        </w:rPr>
        <w:t xml:space="preserve"> –</w:t>
      </w:r>
      <w:r>
        <w:rPr>
          <w:color w:val="003300"/>
        </w:rPr>
        <w:t xml:space="preserve"> </w:t>
      </w:r>
      <w:r>
        <w:rPr>
          <w:color w:val="003300"/>
        </w:rPr>
        <w:t>Hausse de l’endettement et baisse de l’autofinancement.</w:t>
      </w:r>
    </w:p>
    <w:p w14:paraId="038AA87E" w14:textId="172D2ADA" w:rsidR="004235B7" w:rsidRDefault="004235B7" w:rsidP="004235B7">
      <w:pPr>
        <w:keepNext/>
        <w:spacing w:before="120" w:after="0" w:line="240" w:lineRule="auto"/>
        <w:ind w:left="567"/>
        <w:rPr>
          <w:rFonts w:cs="Times"/>
          <w:color w:val="003300"/>
          <w:szCs w:val="24"/>
        </w:rPr>
      </w:pPr>
      <w:hyperlink r:id="rId17" w:history="1">
        <w:r w:rsidRPr="004235B7">
          <w:rPr>
            <w:rStyle w:val="Lienhypertexte"/>
          </w:rPr>
          <w:t xml:space="preserve">DGCL - </w:t>
        </w:r>
        <w:r w:rsidRPr="004235B7">
          <w:rPr>
            <w:rStyle w:val="Lienhypertexte"/>
          </w:rPr>
          <w:t>BIS N°156 : Les Finances Des Régions Entre 2015 Et 2021</w:t>
        </w:r>
      </w:hyperlink>
    </w:p>
    <w:p w14:paraId="6E1B19DF" w14:textId="77777777" w:rsidR="00142627" w:rsidRDefault="00142627">
      <w:pPr>
        <w:spacing w:before="0" w:after="0" w:line="240" w:lineRule="auto"/>
        <w:jc w:val="left"/>
      </w:pPr>
      <w:r>
        <w:br w:type="page"/>
      </w:r>
    </w:p>
    <w:p w14:paraId="2649CADA" w14:textId="670F9EAF"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333E2365" w14:textId="77777777" w:rsidR="00285F6E" w:rsidRDefault="00285F6E" w:rsidP="00285F6E">
      <w:pPr>
        <w:pStyle w:val="NormalWeb"/>
        <w:shd w:val="clear" w:color="auto" w:fill="FFFFFF"/>
        <w:spacing w:before="0" w:after="150"/>
        <w:jc w:val="both"/>
        <w:rPr>
          <w:rFonts w:ascii="Open Sans" w:hAnsi="Open Sans" w:cs="Open Sans"/>
          <w:color w:val="333333"/>
          <w:sz w:val="21"/>
          <w:szCs w:val="21"/>
        </w:rPr>
      </w:pPr>
      <w:hyperlink r:id="rId18" w:tooltip="22/09/2021 : IS - Déduction fiscale au titre des investissements en outre-mer - Absence de dépréciation des parts de la société de portage - Rescrit" w:history="1">
        <w:r>
          <w:rPr>
            <w:rStyle w:val="Lienhypertexte"/>
            <w:rFonts w:ascii="Open Sans" w:hAnsi="Open Sans" w:cs="Open Sans"/>
            <w:sz w:val="21"/>
            <w:szCs w:val="21"/>
          </w:rPr>
          <w:t>22/09/2021 : IS - Déduction fiscale au titre des investissements en outre-mer - Absence de dépréciation des parts de la société de portage - Rescrit</w:t>
        </w:r>
      </w:hyperlink>
    </w:p>
    <w:p w14:paraId="71E0A4C4" w14:textId="77777777" w:rsidR="00285F6E" w:rsidRDefault="00285F6E" w:rsidP="00285F6E">
      <w:pPr>
        <w:pStyle w:val="NormalWeb"/>
        <w:shd w:val="clear" w:color="auto" w:fill="FFFFFF"/>
        <w:spacing w:before="0" w:after="150"/>
        <w:jc w:val="both"/>
        <w:rPr>
          <w:rFonts w:ascii="Open Sans" w:hAnsi="Open Sans" w:cs="Open Sans"/>
          <w:color w:val="333333"/>
          <w:sz w:val="21"/>
          <w:szCs w:val="21"/>
        </w:rPr>
      </w:pPr>
      <w:hyperlink r:id="rId19" w:tooltip="22/09/2021 : CF - Actualisation de la liste des États ou territoires ayant conclu avec la France une convention d’assistance administrative en vue de lutter contre la fraude et l’évasion fiscales qui permet l’accès aux renseignements bancaires" w:history="1">
        <w:r>
          <w:rPr>
            <w:rStyle w:val="Lienhypertexte"/>
            <w:rFonts w:ascii="Open Sans" w:hAnsi="Open Sans" w:cs="Open Sans"/>
            <w:sz w:val="21"/>
            <w:szCs w:val="21"/>
          </w:rPr>
          <w:t>22/09/2021 : CF - Actualisation de la liste des États ou territoires ayant conclu avec la France une convention d’assistance administrative en vue de lutter contre la fraude et l’évasion fiscales qui permet l’accès aux renseignements bancaires</w:t>
        </w:r>
      </w:hyperlink>
    </w:p>
    <w:p w14:paraId="521DF38E" w14:textId="77777777" w:rsidR="00285F6E" w:rsidRDefault="00285F6E" w:rsidP="00285F6E">
      <w:pPr>
        <w:pStyle w:val="NormalWeb"/>
        <w:shd w:val="clear" w:color="auto" w:fill="FFFFFF"/>
        <w:spacing w:before="0" w:after="150"/>
        <w:jc w:val="both"/>
        <w:rPr>
          <w:rFonts w:ascii="Open Sans" w:hAnsi="Open Sans" w:cs="Open Sans"/>
          <w:color w:val="333333"/>
          <w:sz w:val="21"/>
          <w:szCs w:val="21"/>
        </w:rPr>
      </w:pPr>
      <w:hyperlink r:id="rId20" w:tooltip="08/09/2021 : TVA - Taux de TVA applicable aux droits d'accès à une installation de lancer de haches - Rescrit" w:history="1">
        <w:r>
          <w:rPr>
            <w:rStyle w:val="Lienhypertexte"/>
            <w:rFonts w:ascii="Open Sans" w:hAnsi="Open Sans" w:cs="Open Sans"/>
            <w:sz w:val="21"/>
            <w:szCs w:val="21"/>
          </w:rPr>
          <w:t>08/09/2021 : TVA - Taux de TVA applicable aux droits d'accès à une installation de lancer de haches - Rescrit</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21"/>
      <w:headerReference w:type="first" r:id="rId22"/>
      <w:footerReference w:type="first" r:id="rId23"/>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6F2FB" w14:textId="77777777" w:rsidR="00394087" w:rsidRDefault="00394087">
      <w:r>
        <w:separator/>
      </w:r>
    </w:p>
  </w:endnote>
  <w:endnote w:type="continuationSeparator" w:id="0">
    <w:p w14:paraId="0E774BFD" w14:textId="77777777" w:rsidR="00394087" w:rsidRDefault="0039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3C2F39A3-BE54-4DFC-A4E6-443277ECC84F}"/>
    <w:embedBold r:id="rId2" w:fontKey="{00281E70-1353-41B2-9C13-D6B9378FC614}"/>
    <w:embedItalic r:id="rId3" w:fontKey="{8A8A7C64-5827-4208-9017-6A2241974657}"/>
    <w:embedBoldItalic r:id="rId4" w:fontKey="{9A1CB9F8-40C2-4059-A7B5-6AE003044C39}"/>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78D76EBD-D3BA-4DCD-8BFA-5E6F84857B61}"/>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6" w:subsetted="1" w:fontKey="{EC8C9424-3E84-4011-92C4-82B516A88E3C}"/>
  </w:font>
  <w:font w:name="Open Sans">
    <w:panose1 w:val="020B0606030504020204"/>
    <w:charset w:val="00"/>
    <w:family w:val="swiss"/>
    <w:pitch w:val="variable"/>
    <w:sig w:usb0="E00002EF" w:usb1="4000205B" w:usb2="00000028" w:usb3="00000000" w:csb0="0000019F" w:csb1="00000000"/>
    <w:embedRegular r:id="rId7" w:fontKey="{27736B89-42CF-4AD2-848F-264FAD14D0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1F8BA" w14:textId="77777777" w:rsidR="00394087" w:rsidRDefault="00394087">
      <w:r>
        <w:separator/>
      </w:r>
    </w:p>
  </w:footnote>
  <w:footnote w:type="continuationSeparator" w:id="0">
    <w:p w14:paraId="239A6B4D" w14:textId="77777777" w:rsidR="00394087" w:rsidRDefault="0039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484890CF"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-2021-0</w:t>
          </w:r>
          <w:r w:rsidR="00285F6E">
            <w:rPr>
              <w:noProof/>
              <w:sz w:val="20"/>
            </w:rPr>
            <w:t>9</w:t>
          </w:r>
          <w:r>
            <w:rPr>
              <w:sz w:val="20"/>
            </w:rPr>
            <w:fldChar w:fldCharType="end"/>
          </w:r>
        </w:p>
        <w:p w14:paraId="6D4A75FB" w14:textId="11760B75"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DB4F9A">
            <w:rPr>
              <w:sz w:val="20"/>
            </w:rPr>
            <w:t>29</w:t>
          </w:r>
          <w:r w:rsidR="007971DD">
            <w:rPr>
              <w:sz w:val="20"/>
            </w:rPr>
            <w:t xml:space="preserve"> </w:t>
          </w:r>
          <w:r w:rsidR="00285F6E">
            <w:rPr>
              <w:sz w:val="20"/>
            </w:rPr>
            <w:t>septembre</w:t>
          </w:r>
          <w:r w:rsidR="00101E9F">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86" type="#_x0000_t75" style="width:3in;height:3in" o:bullet="t"/>
    </w:pict>
  </w:numPicBullet>
  <w:numPicBullet w:numPicBulletId="1">
    <w:pict>
      <v:shape id="_x0000_i3987" type="#_x0000_t75" style="width:3in;height:3in" o:bullet="t"/>
    </w:pict>
  </w:numPicBullet>
  <w:numPicBullet w:numPicBulletId="2">
    <w:pict>
      <v:shape id="_x0000_i3988" type="#_x0000_t75" style="width:3in;height:3in" o:bullet="t"/>
    </w:pict>
  </w:numPicBullet>
  <w:numPicBullet w:numPicBulletId="3">
    <w:pict>
      <v:shape id="_x0000_i3989" type="#_x0000_t75" style="width:3in;height:3in" o:bullet="t"/>
    </w:pict>
  </w:numPicBullet>
  <w:numPicBullet w:numPicBulletId="4">
    <w:pict>
      <v:shape id="_x0000_i3990" type="#_x0000_t75" style="width:3in;height:3in" o:bullet="t"/>
    </w:pict>
  </w:numPicBullet>
  <w:numPicBullet w:numPicBulletId="5">
    <w:pict>
      <v:shape id="_x0000_i3991" type="#_x0000_t75" style="width:3in;height:3in" o:bullet="t"/>
    </w:pict>
  </w:numPicBullet>
  <w:numPicBullet w:numPicBulletId="6">
    <w:pict>
      <v:shape id="_x0000_i3992" type="#_x0000_t75" style="width:3in;height:3in" o:bullet="t"/>
    </w:pict>
  </w:numPicBullet>
  <w:numPicBullet w:numPicBulletId="7">
    <w:pict>
      <v:shape id="_x0000_i3993" type="#_x0000_t75" style="width:3in;height:3in" o:bullet="t"/>
    </w:pict>
  </w:numPicBullet>
  <w:numPicBullet w:numPicBulletId="8">
    <w:pict>
      <v:shape id="_x0000_i3994" type="#_x0000_t75" style="width:3in;height:3in" o:bullet="t"/>
    </w:pict>
  </w:numPicBullet>
  <w:numPicBullet w:numPicBulletId="9">
    <w:pict>
      <v:shape id="_x0000_i3995" type="#_x0000_t75" style="width:3in;height:3in" o:bullet="t"/>
    </w:pict>
  </w:numPicBullet>
  <w:numPicBullet w:numPicBulletId="10">
    <w:pict>
      <v:shape id="_x0000_i3996" type="#_x0000_t75" style="width:3in;height:3in" o:bullet="t"/>
    </w:pict>
  </w:numPicBullet>
  <w:numPicBullet w:numPicBulletId="11">
    <w:pict>
      <v:shape id="_x0000_i3997" type="#_x0000_t75" style="width:3in;height:3in" o:bullet="t"/>
    </w:pict>
  </w:numPicBullet>
  <w:numPicBullet w:numPicBulletId="12">
    <w:pict>
      <v:shape id="_x0000_i3998" type="#_x0000_t75" style="width:3in;height:3in" o:bullet="t"/>
    </w:pict>
  </w:numPicBullet>
  <w:numPicBullet w:numPicBulletId="13">
    <w:pict>
      <v:shape id="_x0000_i3999" type="#_x0000_t75" style="width:3in;height:3in" o:bullet="t"/>
    </w:pict>
  </w:numPicBullet>
  <w:numPicBullet w:numPicBulletId="14">
    <w:pict>
      <v:shape id="_x0000_i4000" type="#_x0000_t75" style="width:3in;height:3in" o:bullet="t"/>
    </w:pict>
  </w:numPicBullet>
  <w:numPicBullet w:numPicBulletId="15">
    <w:pict>
      <v:shape id="_x0000_i4001" type="#_x0000_t75" style="width:3in;height:3in" o:bullet="t"/>
    </w:pict>
  </w:numPicBullet>
  <w:numPicBullet w:numPicBulletId="16">
    <w:pict>
      <v:shape id="_x0000_i4002" type="#_x0000_t75" style="width:3in;height:3in" o:bullet="t"/>
    </w:pict>
  </w:numPicBullet>
  <w:numPicBullet w:numPicBulletId="17">
    <w:pict>
      <v:shape id="_x0000_i4003" type="#_x0000_t75" style="width:3in;height:3in" o:bullet="t"/>
    </w:pict>
  </w:numPicBullet>
  <w:numPicBullet w:numPicBulletId="18">
    <w:pict>
      <v:shape id="_x0000_i4004" type="#_x0000_t75" style="width:3in;height:3in" o:bullet="t"/>
    </w:pict>
  </w:numPicBullet>
  <w:numPicBullet w:numPicBulletId="19">
    <w:pict>
      <v:shape id="_x0000_i400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1"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2"/>
  </w:num>
  <w:num w:numId="5">
    <w:abstractNumId w:val="26"/>
  </w:num>
  <w:num w:numId="6">
    <w:abstractNumId w:val="21"/>
  </w:num>
  <w:num w:numId="7">
    <w:abstractNumId w:val="7"/>
  </w:num>
  <w:num w:numId="8">
    <w:abstractNumId w:val="15"/>
  </w:num>
  <w:num w:numId="9">
    <w:abstractNumId w:val="20"/>
  </w:num>
  <w:num w:numId="10">
    <w:abstractNumId w:val="16"/>
  </w:num>
  <w:num w:numId="11">
    <w:abstractNumId w:val="13"/>
  </w:num>
  <w:num w:numId="12">
    <w:abstractNumId w:val="14"/>
  </w:num>
  <w:num w:numId="13">
    <w:abstractNumId w:val="33"/>
  </w:num>
  <w:num w:numId="14">
    <w:abstractNumId w:val="24"/>
  </w:num>
  <w:num w:numId="15">
    <w:abstractNumId w:val="27"/>
  </w:num>
  <w:num w:numId="16">
    <w:abstractNumId w:val="2"/>
  </w:num>
  <w:num w:numId="17">
    <w:abstractNumId w:val="28"/>
  </w:num>
  <w:num w:numId="18">
    <w:abstractNumId w:val="18"/>
  </w:num>
  <w:num w:numId="19">
    <w:abstractNumId w:val="23"/>
  </w:num>
  <w:num w:numId="20">
    <w:abstractNumId w:val="25"/>
  </w:num>
  <w:num w:numId="21">
    <w:abstractNumId w:val="29"/>
  </w:num>
  <w:num w:numId="22">
    <w:abstractNumId w:val="31"/>
  </w:num>
  <w:num w:numId="23">
    <w:abstractNumId w:val="4"/>
  </w:num>
  <w:num w:numId="24">
    <w:abstractNumId w:val="17"/>
  </w:num>
  <w:num w:numId="25">
    <w:abstractNumId w:val="8"/>
  </w:num>
  <w:num w:numId="26">
    <w:abstractNumId w:val="10"/>
  </w:num>
  <w:num w:numId="27">
    <w:abstractNumId w:val="19"/>
  </w:num>
  <w:num w:numId="28">
    <w:abstractNumId w:val="9"/>
  </w:num>
  <w:num w:numId="29">
    <w:abstractNumId w:val="3"/>
  </w:num>
  <w:num w:numId="30">
    <w:abstractNumId w:val="11"/>
  </w:num>
  <w:num w:numId="31">
    <w:abstractNumId w:val="34"/>
  </w:num>
  <w:num w:numId="32">
    <w:abstractNumId w:val="30"/>
  </w:num>
  <w:num w:numId="33">
    <w:abstractNumId w:val="1"/>
  </w:num>
  <w:num w:numId="34">
    <w:abstractNumId w:val="22"/>
    <w:lvlOverride w:ilvl="0">
      <w:startOverride w:val="17"/>
    </w:lvlOverride>
  </w:num>
  <w:num w:numId="35">
    <w:abstractNumId w:val="22"/>
    <w:lvlOverride w:ilvl="0">
      <w:startOverride w:val="18"/>
    </w:lvlOverride>
  </w:num>
  <w:num w:numId="36">
    <w:abstractNumId w:val="22"/>
    <w:lvlOverride w:ilvl="0">
      <w:startOverride w:val="19"/>
    </w:lvlOverride>
  </w:num>
  <w:num w:numId="37">
    <w:abstractNumId w:val="22"/>
    <w:lvlOverride w:ilvl="0">
      <w:startOverride w:val="20"/>
    </w:lvlOverride>
  </w:num>
  <w:num w:numId="38">
    <w:abstractNumId w:val="22"/>
    <w:lvlOverride w:ilvl="0">
      <w:startOverride w:val="21"/>
    </w:lvlOverride>
  </w:num>
  <w:num w:numId="39">
    <w:abstractNumId w:val="22"/>
    <w:lvlOverride w:ilvl="0">
      <w:startOverride w:val="22"/>
    </w:lvlOverride>
  </w:num>
  <w:num w:numId="40">
    <w:abstractNumId w:val="22"/>
    <w:lvlOverride w:ilvl="0">
      <w:startOverride w:val="23"/>
    </w:lvlOverride>
  </w:num>
  <w:num w:numId="41">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087"/>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649"/>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24DE"/>
    <w:rsid w:val="00432754"/>
    <w:rsid w:val="00432C69"/>
    <w:rsid w:val="00432F68"/>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4A3B"/>
    <w:rsid w:val="004757BA"/>
    <w:rsid w:val="004763DE"/>
    <w:rsid w:val="0047692A"/>
    <w:rsid w:val="00477C56"/>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257E"/>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52CA"/>
    <w:rsid w:val="007A5811"/>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2041D"/>
    <w:rsid w:val="00A20ED3"/>
    <w:rsid w:val="00A212EE"/>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4027256" TargetMode="External"/><Relationship Id="rId13" Type="http://schemas.openxmlformats.org/officeDocument/2006/relationships/hyperlink" Target="https://www.legifrance.gouv.fr/jorf/id/JORFTEXT000043956924" TargetMode="External"/><Relationship Id="rId18" Type="http://schemas.openxmlformats.org/officeDocument/2006/relationships/hyperlink" Target="https://bofip.impots.gouv.fr/bofip/13316-PGP.html/ACTU-2021-0026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egifrance.gouv.fr/ceta/id/CETATEXT000043243768" TargetMode="External"/><Relationship Id="rId17" Type="http://schemas.openxmlformats.org/officeDocument/2006/relationships/hyperlink" Target="https://www.collectivites-locales.gouv.fr/bis-ndeg156-les-finances-des-regions-entre-2015-et-202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anquedesterritoires.fr/sites/default/files/2021-09/perspectives-2021.pdf" TargetMode="External"/><Relationship Id="rId20" Type="http://schemas.openxmlformats.org/officeDocument/2006/relationships/hyperlink" Target="https://bofip.impots.gouv.fr/bofip/13281-PGP.html/ACTU-2021-002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nil.fr/sites/default/files/atoms/files/autoevaluation_de_maturite_en_gestion_de_la_protection_des_donnees.pdf"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bofip.impots.gouv.fr/bofip/13229-PGP.html/ACTU-2021-00232" TargetMode="External"/><Relationship Id="rId4" Type="http://schemas.openxmlformats.org/officeDocument/2006/relationships/settings" Target="settings.xml"/><Relationship Id="rId9" Type="http://schemas.openxmlformats.org/officeDocument/2006/relationships/hyperlink" Target="https://www.collectivites-locales.gouv.fr/finances-locales/le-referentiel-m57-comptabilite-des-metropoles-des-ctu-et-des-collectivites" TargetMode="External"/><Relationship Id="rId14" Type="http://schemas.openxmlformats.org/officeDocument/2006/relationships/hyperlink" Target="https://www.legifrance.gouv.fr/jorf/id/JORFTEXT000043850591"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735</Words>
  <Characters>4044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4770</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49</cp:revision>
  <cp:lastPrinted>2020-08-04T09:31:00Z</cp:lastPrinted>
  <dcterms:created xsi:type="dcterms:W3CDTF">2021-03-04T15:01:00Z</dcterms:created>
  <dcterms:modified xsi:type="dcterms:W3CDTF">2021-09-29T09:20:00Z</dcterms:modified>
</cp:coreProperties>
</file>